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i w:val="false"/>
          <w:iCs w:val="false"/>
          <w:color w:val="1B8A5A"/>
          <w:sz w:val="18"/>
          <w:szCs w:val="18"/>
        </w:rPr>
        <w:t xml:space="preserve">PARTNER ONBOARDING GUIDE</w:t>
      </w:r>
    </w:p>
    <w:p>
      <w:pPr>
        <w:spacing w:after="80"/>
      </w:pPr>
      <w:r>
        <w:rPr>
          <w:rFonts w:ascii="Arial" w:cs="Arial" w:eastAsia="Arial" w:hAnsi="Arial"/>
          <w:b/>
          <w:bCs/>
          <w:color w:val="0B1F3A"/>
          <w:sz w:val="40"/>
          <w:szCs w:val="40"/>
        </w:rPr>
        <w:t xml:space="preserve">Services Providers</w:t>
      </w:r>
    </w:p>
    <w:p>
      <w:pPr>
        <w:spacing w:after="160" w:before="0"/>
      </w:pPr>
      <w:r>
        <w:rPr>
          <w:rFonts w:ascii="Arial" w:cs="Arial" w:eastAsia="Arial" w:hAnsi="Arial"/>
          <w:b w:val="false"/>
          <w:bCs w:val="false"/>
          <w:i w:val="false"/>
          <w:iCs w:val="false"/>
          <w:color w:val="64748B"/>
          <w:sz w:val="22"/>
          <w:szCs w:val="22"/>
        </w:rPr>
        <w:t xml:space="preserve">Services &amp; specialist partner onboarding process &amp; average timelines</w:t>
      </w:r>
    </w:p>
    <w:p>
      <w:pPr>
        <w:spacing w:after="200" w:before="0"/>
      </w:pPr>
      <w:r>
        <w:rPr>
          <w:rFonts w:ascii="Arial" w:cs="Arial" w:eastAsia="Arial" w:hAnsi="Arial"/>
          <w:b w:val="false"/>
          <w:bCs w:val="false"/>
          <w:i/>
          <w:iCs/>
          <w:color w:val="64748B"/>
          <w:sz w:val="18"/>
          <w:szCs w:val="18"/>
        </w:rPr>
        <w:t xml:space="preserve">For ops, KYC/fraud, BPO, compliance support, marketing services, wealth, insurance, wellness, and other specialist providers.</w:t>
      </w:r>
    </w:p>
    <w:p>
      <w:pPr>
        <w:pStyle w:val="Heading2"/>
        <w:spacing w:after="120" w:before="280"/>
      </w:pPr>
      <w:r>
        <w:rPr>
          <w:rFonts w:ascii="Arial" w:cs="Arial" w:eastAsia="Arial" w:hAnsi="Arial"/>
          <w:b/>
          <w:bCs/>
          <w:color w:val="0B1F3A"/>
          <w:sz w:val="26"/>
          <w:szCs w:val="26"/>
        </w:rPr>
        <w:t xml:space="preserve">1. Purpose of this document</w:t>
      </w:r>
    </w:p>
    <w:p>
      <w:pPr>
        <w:spacing w:after="120" w:before="0"/>
      </w:pPr>
      <w:r>
        <w:rPr>
          <w:rFonts w:ascii="Arial" w:cs="Arial" w:eastAsia="Arial" w:hAnsi="Arial"/>
          <w:b w:val="false"/>
          <w:bCs w:val="false"/>
          <w:i w:val="false"/>
          <w:iCs w:val="false"/>
          <w:color w:val="0F172A"/>
          <w:sz w:val="20"/>
          <w:szCs w:val="20"/>
        </w:rPr>
        <w:t xml:space="preserve">This guide explains—at a high level—the process, flow, and average timelines for becoming a Neobankify partner as a Services Provider partner. It is intended for executive, legal, compliance, technology, and marketing stakeholders evaluating the partnership.</w:t>
      </w:r>
    </w:p>
    <w:p>
      <w:pPr>
        <w:spacing w:after="200" w:before="0"/>
      </w:pPr>
      <w:r>
        <w:rPr>
          <w:rFonts w:ascii="Arial" w:cs="Arial" w:eastAsia="Arial" w:hAnsi="Arial"/>
          <w:b w:val="false"/>
          <w:bCs w:val="false"/>
          <w:i w:val="false"/>
          <w:iCs w:val="false"/>
          <w:color w:val="0F172A"/>
          <w:sz w:val="20"/>
          <w:szCs w:val="20"/>
        </w:rPr>
        <w:t xml:space="preserve">All partner types share the same core process elements. Commercial negotiation length and onboarding/integration depth vary by partner type and integration complexity.</w:t>
      </w:r>
    </w:p>
    <w:p>
      <w:pPr>
        <w:pStyle w:val="Heading2"/>
        <w:spacing w:after="120" w:before="280"/>
      </w:pPr>
      <w:r>
        <w:rPr>
          <w:rFonts w:ascii="Arial" w:cs="Arial" w:eastAsia="Arial" w:hAnsi="Arial"/>
          <w:b/>
          <w:bCs/>
          <w:color w:val="0B1F3A"/>
          <w:sz w:val="26"/>
          <w:szCs w:val="26"/>
        </w:rPr>
        <w:t xml:space="preserve">2. Your role in the ecosystem</w:t>
      </w:r>
    </w:p>
    <w:p>
      <w:pPr>
        <w:spacing w:after="200" w:before="0"/>
      </w:pPr>
      <w:r>
        <w:rPr>
          <w:rFonts w:ascii="Arial" w:cs="Arial" w:eastAsia="Arial" w:hAnsi="Arial"/>
          <w:b w:val="false"/>
          <w:bCs w:val="false"/>
          <w:i w:val="false"/>
          <w:iCs w:val="false"/>
          <w:color w:val="0F172A"/>
          <w:sz w:val="20"/>
          <w:szCs w:val="20"/>
        </w:rPr>
        <w:t xml:space="preserve">You deliver regulated-aware operations or specialist services (care, risk, campaigns, insurance, wellness, etc.). Banks/CUs set policy. Neobankify markets your services into program design, portals, and SuperApp journeys across the community network.</w:t>
      </w:r>
    </w:p>
    <w:p>
      <w:pPr>
        <w:pStyle w:val="Heading2"/>
        <w:spacing w:after="120" w:before="280"/>
      </w:pPr>
      <w:r>
        <w:rPr>
          <w:rFonts w:ascii="Arial" w:cs="Arial" w:eastAsia="Arial" w:hAnsi="Arial"/>
          <w:b/>
          <w:bCs/>
          <w:color w:val="0B1F3A"/>
          <w:sz w:val="26"/>
          <w:szCs w:val="26"/>
        </w:rPr>
        <w:t xml:space="preserve">3. Overview</w:t>
      </w:r>
    </w:p>
    <w:p>
      <w:pPr>
        <w:spacing w:after="120" w:before="0"/>
      </w:pPr>
      <w:r>
        <w:rPr>
          <w:rFonts w:ascii="Arial" w:cs="Arial" w:eastAsia="Arial" w:hAnsi="Arial"/>
          <w:b w:val="false"/>
          <w:bCs w:val="false"/>
          <w:i w:val="false"/>
          <w:iCs w:val="false"/>
          <w:color w:val="0F172A"/>
          <w:sz w:val="20"/>
          <w:szCs w:val="20"/>
        </w:rPr>
        <w:t xml:space="preserve">Services providers complete NeoBank programs with operational excellence and member-facing specialists. Most services partners follow a streamlined onboarding path: exploration, commercial terms, KYB, light SSO or workflow integration, testing, announcement, and network activation. Where no deep core banking work is required, the full process often completes in a matter of days to a couple of weeks.</w:t>
      </w:r>
    </w:p>
    <w:p>
      <w:pPr>
        <w:spacing w:after="160" w:before="0"/>
      </w:pPr>
      <w:r>
        <w:rPr>
          <w:rFonts w:ascii="Arial" w:cs="Arial" w:eastAsia="Arial" w:hAnsi="Arial"/>
          <w:b w:val="false"/>
          <w:bCs w:val="false"/>
          <w:i w:val="false"/>
          <w:iCs w:val="false"/>
          <w:color w:val="0F172A"/>
          <w:sz w:val="20"/>
          <w:szCs w:val="20"/>
        </w:rPr>
        <w:t xml:space="preserve">Average timelines compress when delivery is primarily human/process with SSO and data-sharing. Services that touch regulated decisions or sensitive data require fuller security review but still avoid the multi-month core sponsorship path reserved for banks and credit unions.</w:t>
      </w:r>
    </w:p>
    <w:p>
      <w:pPr>
        <w:shd w:fill="F1F5F9" w:val="clear"/>
        <w:spacing w:after="200"/>
      </w:pPr>
      <w:r>
        <w:rPr>
          <w:rFonts w:ascii="Arial" w:cs="Arial" w:eastAsia="Arial" w:hAnsi="Arial"/>
          <w:b/>
          <w:bCs/>
          <w:color w:val="0B1F3A"/>
          <w:sz w:val="20"/>
          <w:szCs w:val="20"/>
        </w:rPr>
        <w:t xml:space="preserve">Average end-to-end timeline: </w:t>
      </w:r>
      <w:r>
        <w:rPr>
          <w:rFonts w:ascii="Arial" w:cs="Arial" w:eastAsia="Arial" w:hAnsi="Arial"/>
          <w:b/>
          <w:bCs/>
          <w:color w:val="1B8A5A"/>
          <w:sz w:val="20"/>
          <w:szCs w:val="20"/>
        </w:rPr>
        <w:t xml:space="preserve">Typically several days to ~2 weeks for standard services partners</w:t>
      </w:r>
    </w:p>
    <w:p>
      <w:pPr>
        <w:pStyle w:val="Heading2"/>
        <w:spacing w:after="120" w:before="280"/>
      </w:pPr>
      <w:r>
        <w:rPr>
          <w:rFonts w:ascii="Arial" w:cs="Arial" w:eastAsia="Arial" w:hAnsi="Arial"/>
          <w:b/>
          <w:bCs/>
          <w:color w:val="0B1F3A"/>
          <w:sz w:val="26"/>
          <w:szCs w:val="26"/>
        </w:rPr>
        <w:t xml:space="preserve">4. Core partner process (all partner types)</w:t>
      </w:r>
    </w:p>
    <w:p>
      <w:pPr>
        <w:spacing w:after="160" w:before="0"/>
      </w:pPr>
      <w:r>
        <w:rPr>
          <w:rFonts w:ascii="Arial" w:cs="Arial" w:eastAsia="Arial" w:hAnsi="Arial"/>
          <w:b w:val="false"/>
          <w:bCs w:val="false"/>
          <w:i w:val="false"/>
          <w:iCs w:val="false"/>
          <w:color w:val="0F172A"/>
          <w:sz w:val="20"/>
          <w:szCs w:val="20"/>
        </w:rPr>
        <w:t xml:space="preserve">Every Neobankify partner relationship follows these eight core elements. Steps may run partly in parallel (for example, commercial discussion alongside KYB), but none are skipped without written program exception.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800"/>
        <w:gridCol w:w="5960"/>
      </w:tblGrid>
      <w:tr>
        <w:tc>
          <w:tcPr>
            <w:tcW w:type="dxa" w:w="6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w:t>
            </w:r>
          </w:p>
        </w:tc>
        <w:tc>
          <w:tcPr>
            <w:tcW w:type="dxa" w:w="28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Core process step</w:t>
            </w:r>
          </w:p>
        </w:tc>
        <w:tc>
          <w:tcPr>
            <w:tcW w:type="dxa" w:w="596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What happens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1</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Partner exploration</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Partner reaches out to the Neobankify Partnerships team to begin exploration—fit, use cases, network value, and preliminary diligence questions.</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2</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Contract package &amp; commercial terms</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Partner receives the contract package and commercial terms describing how mCards and the Partner share in revenue, plus roles, brand, and compliance expectations.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3</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KYB &amp; onboarding review</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Know Your Business (KYB) and onboarding review: legal entity validation, ownership, licensing (where applicable), security posture, and program eligibility.</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4</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Finalize commercials &amp; sign</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Commercial terms are negotiated and finalized. Contracts are signed by authorized parties on both sides.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5</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Partner onboarding &amp; integration</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Operational onboarding and/or technical integration period. Duration depends on partner type and depth of integration (see average timelines).</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6</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Testing &amp; security audits</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Functional testing, security reviews, and any required audits or control assessments prior to production enablement.</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7</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Launch approvals &amp; announcement</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Approvals obtained for launch. Marketing schedules a press release and ecosystem announcement introducing the partner into the Neobankify network.</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8</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Activation &amp; network marketing</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Marketing works to rapidly activate and onboard communities, members, and other partners to promote and market the new partner and associated services across the distribution network.</w:t>
            </w:r>
          </w:p>
        </w:tc>
      </w:tr>
    </w:tbl>
    <w:p>
      <w:pPr>
        <w:pStyle w:val="Heading2"/>
        <w:spacing w:after="120" w:before="280"/>
      </w:pPr>
      <w:r>
        <w:rPr>
          <w:rFonts w:ascii="Arial" w:cs="Arial" w:eastAsia="Arial" w:hAnsi="Arial"/>
          <w:b/>
          <w:bCs/>
          <w:color w:val="0B1F3A"/>
          <w:sz w:val="26"/>
          <w:szCs w:val="26"/>
        </w:rPr>
        <w:t xml:space="preserve">5. Average timelines by phase — Services Providers</w:t>
      </w:r>
    </w:p>
    <w:p>
      <w:pPr>
        <w:spacing w:after="160" w:before="0"/>
      </w:pPr>
      <w:r>
        <w:rPr>
          <w:rFonts w:ascii="Arial" w:cs="Arial" w:eastAsia="Arial" w:hAnsi="Arial"/>
          <w:b w:val="false"/>
          <w:bCs w:val="false"/>
          <w:i w:val="false"/>
          <w:iCs w:val="false"/>
          <w:color w:val="0F172A"/>
          <w:sz w:val="20"/>
          <w:szCs w:val="20"/>
        </w:rPr>
        <w:t xml:space="preserve">Figures below are planning averages for this partner type. They are not contractual SLAs. Faster paths are common when paperwork, security evidence, and technical access are ready on day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3760"/>
      </w:tblGrid>
      <w:tr>
        <w:tc>
          <w:tcPr>
            <w:tcW w:type="dxa" w:w="32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Phase</w:t>
            </w:r>
          </w:p>
        </w:tc>
        <w:tc>
          <w:tcPr>
            <w:tcW w:type="dxa" w:w="24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Average timeline</w:t>
            </w:r>
          </w:p>
        </w:tc>
        <w:tc>
          <w:tcPr>
            <w:tcW w:type="dxa" w:w="376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Notes</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1. Partner exploration</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1–4 business days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Service catalog, geographies, SLAs, network fit</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2. Contract &amp; commercial package</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1–5 business days to issue</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Attach fees, referral, or revenue share with mCards programs</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3. KYB &amp; onboarding review</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2–8 business days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Entity, insurance, security, licensing if applicable</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4. Finalize &amp; sign</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2–8 business days</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Often the main calendar variable with legal review</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5. Onboarding &amp; integration</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1–5 business days typical</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SSO, case tooling, runbooks, sandbox workflows</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6. Testing &amp; security audits</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1–4 business days</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Process dry-runs; access control review</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7. Launch approvals &amp; PR</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2–5 business days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Marketplace listing + optional announcement</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8. Network activation marketing</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Ongoing from launch</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Program attach campaigns; operator enablement</w:t>
            </w:r>
          </w:p>
        </w:tc>
      </w:tr>
    </w:tbl>
    <w:p>
      <w:pPr>
        <w:pStyle w:val="Heading2"/>
        <w:spacing w:after="120" w:before="280"/>
      </w:pPr>
      <w:r>
        <w:rPr>
          <w:rFonts w:ascii="Arial" w:cs="Arial" w:eastAsia="Arial" w:hAnsi="Arial"/>
          <w:b/>
          <w:bCs/>
          <w:color w:val="0B1F3A"/>
          <w:sz w:val="26"/>
          <w:szCs w:val="26"/>
        </w:rPr>
        <w:t xml:space="preserve">6. Integration &amp; onboarding focus for Services Providers</w:t>
      </w:r>
    </w:p>
    <w:p>
      <w:pPr>
        <w:pStyle w:val="ListParagraph"/>
        <w:numPr>
          <w:ilvl w:val="0"/>
          <w:numId w:val="2"/>
        </w:numPr>
        <w:spacing w:after="80"/>
      </w:pPr>
      <w:r>
        <w:rPr>
          <w:rFonts w:ascii="Arial" w:cs="Arial" w:eastAsia="Arial" w:hAnsi="Arial"/>
          <w:color w:val="0F172A"/>
          <w:sz w:val="20"/>
          <w:szCs w:val="20"/>
        </w:rPr>
        <w:t xml:space="preserve">SSO into partner portal or case system</w:t>
      </w:r>
    </w:p>
    <w:p>
      <w:pPr>
        <w:pStyle w:val="ListParagraph"/>
        <w:numPr>
          <w:ilvl w:val="0"/>
          <w:numId w:val="2"/>
        </w:numPr>
        <w:spacing w:after="80"/>
      </w:pPr>
      <w:r>
        <w:rPr>
          <w:rFonts w:ascii="Arial" w:cs="Arial" w:eastAsia="Arial" w:hAnsi="Arial"/>
          <w:color w:val="0F172A"/>
          <w:sz w:val="20"/>
          <w:szCs w:val="20"/>
        </w:rPr>
        <w:t xml:space="preserve">Data-sharing / confidentiality agreements</w:t>
      </w:r>
    </w:p>
    <w:p>
      <w:pPr>
        <w:pStyle w:val="ListParagraph"/>
        <w:numPr>
          <w:ilvl w:val="0"/>
          <w:numId w:val="2"/>
        </w:numPr>
        <w:spacing w:after="80"/>
      </w:pPr>
      <w:r>
        <w:rPr>
          <w:rFonts w:ascii="Arial" w:cs="Arial" w:eastAsia="Arial" w:hAnsi="Arial"/>
          <w:color w:val="0F172A"/>
          <w:sz w:val="20"/>
          <w:szCs w:val="20"/>
        </w:rPr>
        <w:t xml:space="preserve">SLA and escalation runbooks for sponsors</w:t>
      </w:r>
    </w:p>
    <w:p>
      <w:pPr>
        <w:pStyle w:val="ListParagraph"/>
        <w:numPr>
          <w:ilvl w:val="0"/>
          <w:numId w:val="2"/>
        </w:numPr>
        <w:spacing w:after="80"/>
      </w:pPr>
      <w:r>
        <w:rPr>
          <w:rFonts w:ascii="Arial" w:cs="Arial" w:eastAsia="Arial" w:hAnsi="Arial"/>
          <w:color w:val="0F172A"/>
          <w:sz w:val="20"/>
          <w:szCs w:val="20"/>
        </w:rPr>
        <w:t xml:space="preserve">Marketplace / portal catalog entry and routing</w:t>
      </w:r>
    </w:p>
    <w:p>
      <w:pPr>
        <w:pStyle w:val="ListParagraph"/>
        <w:numPr>
          <w:ilvl w:val="0"/>
          <w:numId w:val="2"/>
        </w:numPr>
        <w:spacing w:after="80"/>
      </w:pPr>
      <w:r>
        <w:rPr>
          <w:rFonts w:ascii="Arial" w:cs="Arial" w:eastAsia="Arial" w:hAnsi="Arial"/>
          <w:color w:val="0F172A"/>
          <w:sz w:val="20"/>
          <w:szCs w:val="20"/>
        </w:rPr>
        <w:t xml:space="preserve">Member-facing journey copy approved by sponsors</w:t>
      </w:r>
    </w:p>
    <w:p>
      <w:pPr>
        <w:pStyle w:val="ListParagraph"/>
        <w:numPr>
          <w:ilvl w:val="0"/>
          <w:numId w:val="2"/>
        </w:numPr>
        <w:spacing w:after="80"/>
      </w:pPr>
      <w:r>
        <w:rPr>
          <w:rFonts w:ascii="Arial" w:cs="Arial" w:eastAsia="Arial" w:hAnsi="Arial"/>
          <w:color w:val="0F172A"/>
          <w:sz w:val="20"/>
          <w:szCs w:val="20"/>
        </w:rPr>
        <w:t xml:space="preserve">Training for Neobankify and sponsor operator teams</w:t>
      </w:r>
    </w:p>
    <w:p>
      <w:pPr>
        <w:pStyle w:val="Heading2"/>
        <w:spacing w:after="120" w:before="280"/>
      </w:pPr>
      <w:r>
        <w:rPr>
          <w:rFonts w:ascii="Arial" w:cs="Arial" w:eastAsia="Arial" w:hAnsi="Arial"/>
          <w:b/>
          <w:bCs/>
          <w:color w:val="0B1F3A"/>
          <w:sz w:val="26"/>
          <w:szCs w:val="26"/>
        </w:rPr>
        <w:t xml:space="preserve">7. What typically changes the calendar</w:t>
      </w:r>
    </w:p>
    <w:p>
      <w:pPr>
        <w:spacing w:after="200" w:before="0"/>
      </w:pPr>
      <w:r>
        <w:rPr>
          <w:rFonts w:ascii="Arial" w:cs="Arial" w:eastAsia="Arial" w:hAnsi="Arial"/>
          <w:b w:val="false"/>
          <w:bCs w:val="false"/>
          <w:i w:val="false"/>
          <w:iCs w:val="false"/>
          <w:color w:val="0F172A"/>
          <w:sz w:val="20"/>
          <w:szCs w:val="20"/>
        </w:rPr>
        <w:t xml:space="preserve">Pure advisory or campaign services can launch after paperwork in days. Always-on KYC/fraud or insurance distribution requires more security and licensing evidence, extending Phases 3 and 6 modestly.</w:t>
      </w:r>
    </w:p>
    <w:p>
      <w:pPr>
        <w:pStyle w:val="Heading2"/>
        <w:spacing w:after="120" w:before="280"/>
      </w:pPr>
      <w:r>
        <w:rPr>
          <w:rFonts w:ascii="Arial" w:cs="Arial" w:eastAsia="Arial" w:hAnsi="Arial"/>
          <w:b/>
          <w:bCs/>
          <w:color w:val="0B1F3A"/>
          <w:sz w:val="26"/>
          <w:szCs w:val="26"/>
        </w:rPr>
        <w:t xml:space="preserve">8. Commercial terms (high level)</w:t>
      </w:r>
    </w:p>
    <w:p>
      <w:pPr>
        <w:spacing w:after="100" w:before="0"/>
      </w:pPr>
      <w:r>
        <w:rPr>
          <w:rFonts w:ascii="Arial" w:cs="Arial" w:eastAsia="Arial" w:hAnsi="Arial"/>
          <w:b w:val="false"/>
          <w:bCs w:val="false"/>
          <w:i w:val="false"/>
          <w:iCs w:val="false"/>
          <w:color w:val="0F172A"/>
          <w:sz w:val="20"/>
          <w:szCs w:val="20"/>
        </w:rPr>
        <w:t xml:space="preserve">During Step 2, partners receive commercial terms describing how mCards program economics and Partner revenue participation work for the relevant model (sponsorship, module, rewards, or services attach). Final economics are confirmed in Step 4 before signature.</w:t>
      </w:r>
    </w:p>
    <w:p>
      <w:pPr>
        <w:spacing w:after="200" w:before="0"/>
      </w:pPr>
      <w:r>
        <w:rPr>
          <w:rFonts w:ascii="Arial" w:cs="Arial" w:eastAsia="Arial" w:hAnsi="Arial"/>
          <w:b w:val="false"/>
          <w:bCs w:val="false"/>
          <w:i w:val="false"/>
          <w:iCs w:val="false"/>
          <w:color w:val="0F172A"/>
          <w:sz w:val="20"/>
          <w:szCs w:val="20"/>
        </w:rPr>
        <w:t xml:space="preserve">Neobankify does not publish fixed public rate cards in this guide; terms are partner-specific and may depend on volume, exclusivity, product scope, and territory.</w:t>
      </w:r>
    </w:p>
    <w:p>
      <w:pPr>
        <w:pStyle w:val="Heading2"/>
        <w:spacing w:after="120" w:before="280"/>
      </w:pPr>
      <w:r>
        <w:rPr>
          <w:rFonts w:ascii="Arial" w:cs="Arial" w:eastAsia="Arial" w:hAnsi="Arial"/>
          <w:b/>
          <w:bCs/>
          <w:color w:val="0B1F3A"/>
          <w:sz w:val="26"/>
          <w:szCs w:val="26"/>
        </w:rPr>
        <w:t xml:space="preserve">9. Launch, press, and network activation</w:t>
      </w:r>
    </w:p>
    <w:p>
      <w:pPr>
        <w:spacing w:after="200" w:before="0"/>
      </w:pPr>
      <w:r>
        <w:rPr>
          <w:rFonts w:ascii="Arial" w:cs="Arial" w:eastAsia="Arial" w:hAnsi="Arial"/>
          <w:b w:val="false"/>
          <w:bCs w:val="false"/>
          <w:i w:val="false"/>
          <w:iCs w:val="false"/>
          <w:color w:val="0F172A"/>
          <w:sz w:val="20"/>
          <w:szCs w:val="20"/>
        </w:rPr>
        <w:t xml:space="preserve">After testing and approvals (Steps 6–7), Marketing schedules a press release and ecosystem announcement introducing the partner. Step 8 focuses on rapid activation: onboarding communities, members, and channel partners to promote the new partner’s services inside the Neobankify distribution network.</w:t>
      </w:r>
    </w:p>
    <w:p>
      <w:pPr>
        <w:pStyle w:val="Heading2"/>
        <w:spacing w:after="120" w:before="280"/>
      </w:pPr>
      <w:r>
        <w:rPr>
          <w:rFonts w:ascii="Arial" w:cs="Arial" w:eastAsia="Arial" w:hAnsi="Arial"/>
          <w:b/>
          <w:bCs/>
          <w:color w:val="0B1F3A"/>
          <w:sz w:val="26"/>
          <w:szCs w:val="26"/>
        </w:rPr>
        <w:t xml:space="preserve">10. How to start</w:t>
      </w:r>
    </w:p>
    <w:p>
      <w:pPr>
        <w:spacing w:after="100" w:before="0"/>
      </w:pPr>
      <w:r>
        <w:rPr>
          <w:rFonts w:ascii="Arial" w:cs="Arial" w:eastAsia="Arial" w:hAnsi="Arial"/>
          <w:b w:val="false"/>
          <w:bCs w:val="false"/>
          <w:i w:val="false"/>
          <w:iCs w:val="false"/>
          <w:color w:val="0F172A"/>
          <w:sz w:val="20"/>
          <w:szCs w:val="20"/>
        </w:rPr>
        <w:t xml:space="preserve">Contact the Neobankify Partnerships team to begin Step 1 — Partner exploration. Bring stakeholders from legal, compliance, technology, and marketing so commercial and onboarding tracks can run efficiently.</w:t>
      </w:r>
    </w:p>
    <w:p>
      <w:pPr>
        <w:spacing w:after="200" w:before="0"/>
      </w:pPr>
      <w:r>
        <w:rPr>
          <w:rFonts w:ascii="Arial" w:cs="Arial" w:eastAsia="Arial" w:hAnsi="Arial"/>
          <w:b w:val="false"/>
          <w:bCs w:val="false"/>
          <w:i w:val="false"/>
          <w:iCs w:val="false"/>
          <w:color w:val="64748B"/>
          <w:sz w:val="18"/>
          <w:szCs w:val="18"/>
        </w:rPr>
        <w:t xml:space="preserve">Web: neobankify partner pages  ·  Demo / briefing: /request-demo</w:t>
      </w:r>
    </w:p>
    <w:p>
      <w:pPr>
        <w:pStyle w:val="Heading2"/>
        <w:spacing w:after="120" w:before="280"/>
      </w:pPr>
      <w:r>
        <w:rPr>
          <w:rFonts w:ascii="Arial" w:cs="Arial" w:eastAsia="Arial" w:hAnsi="Arial"/>
          <w:b/>
          <w:bCs/>
          <w:color w:val="0B1F3A"/>
          <w:sz w:val="26"/>
          <w:szCs w:val="26"/>
        </w:rPr>
        <w:t xml:space="preserve">11. Disclaimer</w:t>
      </w:r>
    </w:p>
    <w:p>
      <w:pPr>
        <w:spacing w:after="80" w:before="0"/>
      </w:pPr>
      <w:r>
        <w:rPr>
          <w:rFonts w:ascii="Arial" w:cs="Arial" w:eastAsia="Arial" w:hAnsi="Arial"/>
          <w:b w:val="false"/>
          <w:bCs w:val="false"/>
          <w:i w:val="false"/>
          <w:iCs w:val="false"/>
          <w:color w:val="64748B"/>
          <w:sz w:val="16"/>
          <w:szCs w:val="16"/>
        </w:rPr>
        <w:t xml:space="preserve">This document is illustrative and for discussion purposes. It does not constitute a binding offer, legal advice, or a commitment to specific timelines, revenue outcomes, product availability, or regulatory treatment. Production programs depend on signed agreements, successful diligence, sponsor bank/credit union requirements where applicable, and successful testing and approvals. Neobankify provides technology and program orchestration; regulated financial services are provided only by appropriately licensed parties.</w:t>
      </w:r>
    </w:p>
    <w:sectPr>
      <w:headerReference w:type="default" r:id="rId7"/>
      <w:footerReference w:type="default" r:id="rId8"/>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6" w:space="8"/>
      </w:pBdr>
      <w:spacing w:before="120"/>
    </w:pPr>
    <w:r>
      <w:rPr>
        <w:rFonts w:ascii="Arial" w:cs="Arial" w:eastAsia="Arial" w:hAnsi="Arial"/>
        <w:color w:val="64748B"/>
        <w:sz w:val="14"/>
        <w:szCs w:val="14"/>
      </w:rPr>
      <w:t xml:space="preserve">© Neobankify / mCards  ·  Illustrative average timelines; actual schedules vary  ·  Page </w:t>
    </w:r>
    <w:r>
      <w:rPr>
        <w:rFonts w:ascii="Arial" w:cs="Arial" w:eastAsia="Arial" w:hAnsi="Arial"/>
        <w:color w:val="64748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8A5A" w:sz="12" w:space="8"/>
      </w:pBdr>
      <w:spacing w:after="200"/>
    </w:pPr>
    <w:r>
      <w:rPr>
        <w:rFonts w:ascii="Arial" w:cs="Arial" w:eastAsia="Arial" w:hAnsi="Arial"/>
        <w:b/>
        <w:bCs/>
        <w:color w:val="0B1F3A"/>
        <w:sz w:val="16"/>
        <w:szCs w:val="16"/>
      </w:rPr>
      <w:t xml:space="preserve">NEOBANKIFY  ·  Partner Program</w:t>
    </w:r>
    <w:r>
      <w:rPr>
        <w:rFonts w:ascii="Arial" w:cs="Arial" w:eastAsia="Arial" w:hAnsi="Arial"/>
        <w:color w:val="64748B"/>
        <w:sz w:val="16"/>
        <w:szCs w:val="16"/>
      </w:rPr>
      <w:t xml:space="preserve">   |   Confidential — for prospective partners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0B1F3A"/>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0B1F3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2026-07-29T20:12:26.749Z</dcterms:created>
  <dcterms:modified xsi:type="dcterms:W3CDTF">2026-07-29T20:12:26.749Z</dcterms:modified>
</cp:coreProperties>
</file>

<file path=docProps/custom.xml><?xml version="1.0" encoding="utf-8"?>
<Properties xmlns="http://schemas.openxmlformats.org/officeDocument/2006/custom-properties" xmlns:vt="http://schemas.openxmlformats.org/officeDocument/2006/docPropsVTypes"/>
</file>